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ind w:firstLine="210"/>
        <w:rPr>
          <w:sz w:val="21"/>
          <w:szCs w:val="22"/>
        </w:rPr>
      </w:pPr>
      <w:r>
        <w:rPr>
          <w:sz w:val="21"/>
          <w:szCs w:val="22"/>
        </w:rPr>
        <w:t>梁モデルの解析においてメッシュ長さの選択は解析精度と</w:t>
      </w:r>
      <w:r>
        <w:rPr>
          <w:sz w:val="21"/>
          <w:szCs w:val="22"/>
        </w:rPr>
        <w:t>PC</w:t>
      </w:r>
      <w:r>
        <w:rPr>
          <w:sz w:val="21"/>
          <w:szCs w:val="22"/>
        </w:rPr>
        <w:t>にかかる負荷の両面から重要な検討事項となる。私はメッシュ長さを短くする方がより正確な結果が得られると考えている。メッシュ長さを短くすることのメリットとして</w:t>
      </w:r>
    </w:p>
    <w:p>
      <w:pPr>
        <w:pStyle w:val="NoSpacing"/>
        <w:rPr>
          <w:sz w:val="21"/>
          <w:szCs w:val="22"/>
        </w:rPr>
      </w:pPr>
      <w:r>
        <w:rPr>
          <w:sz w:val="21"/>
          <w:szCs w:val="22"/>
        </w:rPr>
        <w:t xml:space="preserve">1, </w:t>
      </w:r>
      <w:r>
        <w:rPr>
          <w:sz w:val="21"/>
          <w:szCs w:val="22"/>
        </w:rPr>
        <w:t>理論値への収束</w:t>
      </w:r>
    </w:p>
    <w:p>
      <w:pPr>
        <w:pStyle w:val="NoSpacing"/>
        <w:ind w:firstLine="210"/>
        <w:rPr>
          <w:sz w:val="21"/>
          <w:szCs w:val="22"/>
        </w:rPr>
      </w:pPr>
      <w:r>
        <w:rPr>
          <w:sz w:val="21"/>
          <w:szCs w:val="22"/>
        </w:rPr>
        <w:t>有限要素法の解析ではメッシュを細かくすることで理論値へある程度収束することが創造工房実習で証明された。仮に要素数を無限に増やせば解析誤差は限りなく小さくなると考えているため精度を高めるにはメッシュを短くするのが理想的だと言える。</w:t>
      </w:r>
    </w:p>
    <w:p>
      <w:pPr>
        <w:pStyle w:val="NoSpacing"/>
        <w:rPr>
          <w:sz w:val="21"/>
          <w:szCs w:val="22"/>
        </w:rPr>
      </w:pPr>
      <w:r>
        <w:rPr>
          <w:sz w:val="21"/>
          <w:szCs w:val="22"/>
        </w:rPr>
        <w:t xml:space="preserve">2, </w:t>
      </w:r>
      <w:r>
        <w:rPr>
          <w:sz w:val="21"/>
          <w:szCs w:val="22"/>
        </w:rPr>
        <w:t>局所的な応力集中の再現</w:t>
      </w:r>
    </w:p>
    <w:p>
      <w:pPr>
        <w:pStyle w:val="NoSpacing"/>
        <w:ind w:firstLine="210"/>
        <w:rPr>
          <w:sz w:val="21"/>
          <w:szCs w:val="22"/>
        </w:rPr>
      </w:pPr>
      <w:r>
        <w:rPr>
          <w:sz w:val="21"/>
          <w:szCs w:val="22"/>
        </w:rPr>
        <w:t>メッシュ長さをある程度短くしないと応力集中が正確に再現されない可能性があり、特に荷重が掛かっている直下等たわみが大きくなる部分ではメッシュを細かくすることでより精密な結果を得ることができる。</w:t>
      </w:r>
    </w:p>
    <w:p>
      <w:pPr>
        <w:pStyle w:val="NoSpacing"/>
        <w:rPr>
          <w:sz w:val="21"/>
          <w:szCs w:val="22"/>
        </w:rPr>
      </w:pPr>
      <w:r>
        <w:rPr>
          <w:sz w:val="21"/>
          <w:szCs w:val="22"/>
        </w:rPr>
        <w:t>国土交通省の資料を見ると梁のたわみの許容値</w:t>
      </w:r>
      <w:r>
        <w:rPr>
          <w:sz w:val="21"/>
          <w:szCs w:val="22"/>
        </w:rPr>
        <w:t>(</w:t>
      </w:r>
      <w:r>
        <w:rPr>
          <w:sz w:val="21"/>
          <w:szCs w:val="22"/>
        </w:rPr>
        <w:t>コンクリート造以外</w:t>
      </w:r>
      <w:r>
        <w:rPr>
          <w:sz w:val="21"/>
          <w:szCs w:val="22"/>
        </w:rPr>
        <w:t>)</w:t>
      </w:r>
      <w:r>
        <w:rPr>
          <w:sz w:val="21"/>
          <w:szCs w:val="22"/>
        </w:rPr>
        <w:t>は通常は</w:t>
      </w:r>
      <w:r>
        <w:rPr>
          <w:sz w:val="21"/>
          <w:szCs w:val="22"/>
        </w:rPr>
        <w:t xml:space="preserve">L/300, </w:t>
      </w:r>
      <w:r>
        <w:rPr>
          <w:sz w:val="21"/>
          <w:szCs w:val="22"/>
        </w:rPr>
        <w:t>片持ち梁の場合は</w:t>
      </w:r>
      <w:r>
        <w:rPr>
          <w:sz w:val="21"/>
          <w:szCs w:val="22"/>
        </w:rPr>
        <w:t>L/250</w:t>
      </w:r>
      <w:r>
        <w:rPr>
          <w:sz w:val="21"/>
          <w:szCs w:val="22"/>
        </w:rPr>
        <w:t>と定義されている。</w:t>
      </w:r>
      <w:r>
        <w:rPr>
          <w:sz w:val="21"/>
          <w:szCs w:val="22"/>
        </w:rPr>
        <w:t>(L=</w:t>
      </w:r>
      <w:r>
        <w:rPr>
          <w:sz w:val="21"/>
          <w:szCs w:val="22"/>
        </w:rPr>
        <w:t>スパン長</w:t>
      </w:r>
      <w:r>
        <w:rPr>
          <w:sz w:val="21"/>
          <w:szCs w:val="22"/>
        </w:rPr>
        <w:t xml:space="preserve">(cm), </w:t>
      </w:r>
      <w:r>
        <w:rPr>
          <w:sz w:val="21"/>
          <w:szCs w:val="22"/>
        </w:rPr>
        <w:t>建築用資材の場合</w:t>
      </w:r>
      <w:r>
        <w:rPr>
          <w:sz w:val="21"/>
          <w:szCs w:val="22"/>
        </w:rPr>
        <w:t>)</w:t>
      </w:r>
    </w:p>
    <w:p>
      <w:pPr>
        <w:pStyle w:val="NoSpacing"/>
        <w:rPr>
          <w:sz w:val="21"/>
          <w:szCs w:val="22"/>
        </w:rPr>
      </w:pPr>
      <w:r>
        <w:rPr>
          <w:sz w:val="21"/>
          <w:szCs w:val="22"/>
        </w:rPr>
        <w:t>これに基づいて梁モデルの許容値を計算すると以下の表</w:t>
      </w:r>
      <w:r>
        <w:rPr>
          <w:sz w:val="21"/>
          <w:szCs w:val="22"/>
        </w:rPr>
        <w:t>1</w:t>
      </w:r>
      <w:r>
        <w:rPr>
          <w:sz w:val="21"/>
          <w:szCs w:val="22"/>
        </w:rPr>
        <w:t>のようになる。</w:t>
      </w:r>
    </w:p>
    <w:p>
      <w:pPr>
        <w:pStyle w:val="NoSpacing"/>
        <w:rPr>
          <w:sz w:val="21"/>
          <w:szCs w:val="22"/>
        </w:rPr>
      </w:pPr>
      <w:r>
        <w:rPr>
          <w:sz w:val="21"/>
          <w:szCs w:val="22"/>
        </w:rPr>
      </w:r>
    </w:p>
    <w:p>
      <w:pPr>
        <w:pStyle w:val="NoSpacing"/>
        <w:jc w:val="center"/>
        <w:rPr>
          <w:sz w:val="21"/>
          <w:szCs w:val="22"/>
        </w:rPr>
      </w:pPr>
      <w:r>
        <w:rPr>
          <w:sz w:val="21"/>
          <w:szCs w:val="22"/>
        </w:rPr>
        <w:t>表１ 各梁モデルの許容値と理論値</w:t>
      </w:r>
      <w:r>
        <w:rPr>
          <w:sz w:val="21"/>
          <w:szCs w:val="22"/>
        </w:rPr>
        <w:t xml:space="preserve">, </w:t>
      </w:r>
      <w:r>
        <w:rPr>
          <w:sz w:val="21"/>
          <w:szCs w:val="22"/>
        </w:rPr>
        <w:t>実験値の許容範囲</w:t>
      </w:r>
    </w:p>
    <w:tbl>
      <w:tblPr>
        <w:tblStyle w:val="ad"/>
        <w:tblW w:w="8494" w:type="dxa"/>
        <w:jc w:val="left"/>
        <w:tblInd w:w="0" w:type="dxa"/>
        <w:tblCellMar>
          <w:top w:w="0" w:type="dxa"/>
          <w:left w:w="108" w:type="dxa"/>
          <w:bottom w:w="0" w:type="dxa"/>
          <w:right w:w="108" w:type="dxa"/>
        </w:tblCellMar>
        <w:tblLook w:val="04a0" w:noHBand="0" w:noVBand="1" w:firstColumn="1" w:lastRow="0" w:lastColumn="0" w:firstRow="1"/>
      </w:tblPr>
      <w:tblGrid>
        <w:gridCol w:w="1650"/>
        <w:gridCol w:w="1350"/>
        <w:gridCol w:w="1882"/>
        <w:gridCol w:w="1868"/>
        <w:gridCol w:w="1744"/>
      </w:tblGrid>
      <w:tr>
        <w:trPr/>
        <w:tc>
          <w:tcPr>
            <w:tcW w:w="1650" w:type="dxa"/>
            <w:tcBorders/>
          </w:tcPr>
          <w:p>
            <w:pPr>
              <w:pStyle w:val="NoSpacing"/>
              <w:jc w:val="center"/>
              <w:rPr>
                <w:sz w:val="21"/>
                <w:szCs w:val="22"/>
              </w:rPr>
            </w:pPr>
            <w:r>
              <w:rPr>
                <w:sz w:val="21"/>
                <w:szCs w:val="22"/>
              </w:rPr>
            </w:r>
          </w:p>
        </w:tc>
        <w:tc>
          <w:tcPr>
            <w:tcW w:w="1350" w:type="dxa"/>
            <w:tcBorders/>
          </w:tcPr>
          <w:p>
            <w:pPr>
              <w:pStyle w:val="NoSpacing"/>
              <w:jc w:val="center"/>
              <w:rPr>
                <w:sz w:val="21"/>
                <w:szCs w:val="22"/>
              </w:rPr>
            </w:pPr>
            <w:r>
              <w:rPr>
                <w:sz w:val="21"/>
                <w:szCs w:val="22"/>
              </w:rPr>
              <w:t>片持ち梁</w:t>
            </w:r>
          </w:p>
        </w:tc>
        <w:tc>
          <w:tcPr>
            <w:tcW w:w="1882" w:type="dxa"/>
            <w:tcBorders/>
          </w:tcPr>
          <w:p>
            <w:pPr>
              <w:pStyle w:val="NoSpacing"/>
              <w:jc w:val="center"/>
              <w:rPr>
                <w:sz w:val="21"/>
                <w:szCs w:val="22"/>
              </w:rPr>
            </w:pPr>
            <w:r>
              <w:rPr>
                <w:sz w:val="21"/>
                <w:szCs w:val="22"/>
              </w:rPr>
              <w:t>単純梁</w:t>
            </w:r>
          </w:p>
        </w:tc>
        <w:tc>
          <w:tcPr>
            <w:tcW w:w="1868" w:type="dxa"/>
            <w:tcBorders/>
          </w:tcPr>
          <w:p>
            <w:pPr>
              <w:pStyle w:val="NoSpacing"/>
              <w:jc w:val="center"/>
              <w:rPr>
                <w:sz w:val="21"/>
                <w:szCs w:val="22"/>
              </w:rPr>
            </w:pPr>
            <w:r>
              <w:rPr>
                <w:sz w:val="21"/>
                <w:szCs w:val="22"/>
              </w:rPr>
              <w:t>単純梁</w:t>
            </w:r>
            <w:r>
              <w:rPr>
                <w:sz w:val="21"/>
                <w:szCs w:val="22"/>
              </w:rPr>
              <w:t>(</w:t>
            </w:r>
            <w:r>
              <w:rPr>
                <w:sz w:val="21"/>
                <w:szCs w:val="22"/>
              </w:rPr>
              <w:t>異方性</w:t>
            </w:r>
            <w:r>
              <w:rPr>
                <w:sz w:val="21"/>
                <w:szCs w:val="22"/>
              </w:rPr>
              <w:t>)</w:t>
            </w:r>
          </w:p>
        </w:tc>
        <w:tc>
          <w:tcPr>
            <w:tcW w:w="1744" w:type="dxa"/>
            <w:tcBorders/>
          </w:tcPr>
          <w:p>
            <w:pPr>
              <w:pStyle w:val="NoSpacing"/>
              <w:jc w:val="center"/>
              <w:rPr>
                <w:sz w:val="21"/>
                <w:szCs w:val="22"/>
              </w:rPr>
            </w:pPr>
            <w:r>
              <w:rPr>
                <w:sz w:val="21"/>
                <w:szCs w:val="22"/>
              </w:rPr>
              <w:t>サンドイッチ梁</w:t>
            </w:r>
          </w:p>
        </w:tc>
      </w:tr>
      <w:tr>
        <w:trPr/>
        <w:tc>
          <w:tcPr>
            <w:tcW w:w="1650" w:type="dxa"/>
            <w:tcBorders/>
          </w:tcPr>
          <w:p>
            <w:pPr>
              <w:pStyle w:val="NoSpacing"/>
              <w:jc w:val="center"/>
              <w:rPr>
                <w:sz w:val="21"/>
                <w:szCs w:val="22"/>
              </w:rPr>
            </w:pPr>
            <w:r>
              <w:rPr>
                <w:sz w:val="21"/>
                <w:szCs w:val="22"/>
              </w:rPr>
              <w:t>許容値</w:t>
            </w:r>
            <w:r>
              <w:rPr>
                <w:sz w:val="21"/>
                <w:szCs w:val="22"/>
              </w:rPr>
              <w:t>(mm)</w:t>
            </w:r>
          </w:p>
        </w:tc>
        <w:tc>
          <w:tcPr>
            <w:tcW w:w="1350" w:type="dxa"/>
            <w:tcBorders/>
          </w:tcPr>
          <w:p>
            <w:pPr>
              <w:pStyle w:val="NoSpacing"/>
              <w:jc w:val="center"/>
              <w:rPr>
                <w:sz w:val="21"/>
                <w:szCs w:val="22"/>
              </w:rPr>
            </w:pPr>
            <w:r>
              <w:rPr>
                <w:sz w:val="21"/>
                <w:szCs w:val="22"/>
              </w:rPr>
              <w:t>0.04</w:t>
            </w:r>
          </w:p>
        </w:tc>
        <w:tc>
          <w:tcPr>
            <w:tcW w:w="5494" w:type="dxa"/>
            <w:gridSpan w:val="3"/>
            <w:tcBorders/>
          </w:tcPr>
          <w:p>
            <w:pPr>
              <w:pStyle w:val="NoSpacing"/>
              <w:jc w:val="center"/>
              <w:rPr>
                <w:sz w:val="21"/>
                <w:szCs w:val="22"/>
              </w:rPr>
            </w:pPr>
            <w:r>
              <w:rPr>
                <w:sz w:val="21"/>
                <w:szCs w:val="22"/>
              </w:rPr>
              <w:t>0.033</w:t>
            </w:r>
          </w:p>
        </w:tc>
      </w:tr>
      <w:tr>
        <w:trPr/>
        <w:tc>
          <w:tcPr>
            <w:tcW w:w="1650" w:type="dxa"/>
            <w:tcBorders/>
          </w:tcPr>
          <w:p>
            <w:pPr>
              <w:pStyle w:val="NoSpacing"/>
              <w:jc w:val="center"/>
              <w:rPr>
                <w:sz w:val="21"/>
                <w:szCs w:val="22"/>
              </w:rPr>
            </w:pPr>
            <w:r>
              <w:rPr>
                <w:sz w:val="21"/>
                <w:szCs w:val="22"/>
              </w:rPr>
              <w:t>理論値</w:t>
            </w:r>
            <w:r>
              <w:rPr>
                <w:sz w:val="21"/>
                <w:szCs w:val="22"/>
              </w:rPr>
              <w:t>(mm)</w:t>
            </w:r>
          </w:p>
        </w:tc>
        <w:tc>
          <w:tcPr>
            <w:tcW w:w="1350" w:type="dxa"/>
            <w:tcBorders/>
          </w:tcPr>
          <w:p>
            <w:pPr>
              <w:pStyle w:val="NoSpacing"/>
              <w:jc w:val="center"/>
              <w:rPr>
                <w:sz w:val="21"/>
                <w:szCs w:val="22"/>
              </w:rPr>
            </w:pPr>
            <w:r>
              <w:rPr>
                <w:sz w:val="21"/>
                <w:szCs w:val="22"/>
              </w:rPr>
              <w:t>6.67</w:t>
            </w:r>
          </w:p>
        </w:tc>
        <w:tc>
          <w:tcPr>
            <w:tcW w:w="1882" w:type="dxa"/>
            <w:tcBorders/>
          </w:tcPr>
          <w:p>
            <w:pPr>
              <w:pStyle w:val="NoSpacing"/>
              <w:jc w:val="center"/>
              <w:rPr>
                <w:sz w:val="21"/>
                <w:szCs w:val="22"/>
              </w:rPr>
            </w:pPr>
            <w:r>
              <w:rPr>
                <w:sz w:val="21"/>
                <w:szCs w:val="22"/>
              </w:rPr>
              <w:t>0.4166</w:t>
            </w:r>
          </w:p>
        </w:tc>
        <w:tc>
          <w:tcPr>
            <w:tcW w:w="1868" w:type="dxa"/>
            <w:tcBorders/>
          </w:tcPr>
          <w:p>
            <w:pPr>
              <w:pStyle w:val="NoSpacing"/>
              <w:jc w:val="center"/>
              <w:rPr>
                <w:sz w:val="21"/>
                <w:szCs w:val="22"/>
              </w:rPr>
            </w:pPr>
            <w:r>
              <w:rPr>
                <w:sz w:val="21"/>
                <w:szCs w:val="22"/>
              </w:rPr>
              <w:t>0.4917</w:t>
            </w:r>
          </w:p>
        </w:tc>
        <w:tc>
          <w:tcPr>
            <w:tcW w:w="1744" w:type="dxa"/>
            <w:tcBorders/>
          </w:tcPr>
          <w:p>
            <w:pPr>
              <w:pStyle w:val="NoSpacing"/>
              <w:jc w:val="center"/>
              <w:rPr>
                <w:sz w:val="21"/>
                <w:szCs w:val="22"/>
              </w:rPr>
            </w:pPr>
            <w:r>
              <w:rPr>
                <w:sz w:val="21"/>
                <w:szCs w:val="22"/>
              </w:rPr>
              <w:t>0.098</w:t>
            </w:r>
          </w:p>
        </w:tc>
      </w:tr>
      <w:tr>
        <w:trPr/>
        <w:tc>
          <w:tcPr>
            <w:tcW w:w="1650" w:type="dxa"/>
            <w:tcBorders/>
          </w:tcPr>
          <w:p>
            <w:pPr>
              <w:pStyle w:val="NoSpacing"/>
              <w:jc w:val="center"/>
              <w:rPr>
                <w:sz w:val="18"/>
                <w:szCs w:val="18"/>
              </w:rPr>
            </w:pPr>
            <w:r>
              <w:rPr>
                <w:sz w:val="21"/>
                <w:szCs w:val="21"/>
              </w:rPr>
              <w:t>許容範囲</w:t>
            </w:r>
            <w:r>
              <w:rPr>
                <w:sz w:val="21"/>
                <w:szCs w:val="21"/>
              </w:rPr>
              <w:t>(mm)</w:t>
            </w:r>
          </w:p>
        </w:tc>
        <w:tc>
          <w:tcPr>
            <w:tcW w:w="1350" w:type="dxa"/>
            <w:tcBorders/>
          </w:tcPr>
          <w:p>
            <w:pPr>
              <w:pStyle w:val="NoSpacing"/>
              <w:jc w:val="center"/>
              <w:rPr>
                <w:sz w:val="21"/>
                <w:szCs w:val="22"/>
              </w:rPr>
            </w:pPr>
            <w:r>
              <w:rPr>
                <w:sz w:val="21"/>
                <w:szCs w:val="22"/>
              </w:rPr>
              <w:t>6.63~6.71</w:t>
            </w:r>
          </w:p>
        </w:tc>
        <w:tc>
          <w:tcPr>
            <w:tcW w:w="1882" w:type="dxa"/>
            <w:tcBorders/>
          </w:tcPr>
          <w:p>
            <w:pPr>
              <w:pStyle w:val="NoSpacing"/>
              <w:jc w:val="center"/>
              <w:rPr>
                <w:sz w:val="21"/>
                <w:szCs w:val="22"/>
              </w:rPr>
            </w:pPr>
            <w:r>
              <w:rPr>
                <w:sz w:val="21"/>
                <w:szCs w:val="22"/>
              </w:rPr>
              <w:t>0.3836~0.4496</w:t>
            </w:r>
          </w:p>
        </w:tc>
        <w:tc>
          <w:tcPr>
            <w:tcW w:w="1868" w:type="dxa"/>
            <w:tcBorders/>
          </w:tcPr>
          <w:p>
            <w:pPr>
              <w:pStyle w:val="NoSpacing"/>
              <w:jc w:val="center"/>
              <w:rPr>
                <w:sz w:val="21"/>
                <w:szCs w:val="22"/>
              </w:rPr>
            </w:pPr>
            <w:r>
              <w:rPr>
                <w:sz w:val="21"/>
                <w:szCs w:val="22"/>
              </w:rPr>
              <w:t>0.4587~0.5247</w:t>
            </w:r>
          </w:p>
        </w:tc>
        <w:tc>
          <w:tcPr>
            <w:tcW w:w="1744" w:type="dxa"/>
            <w:tcBorders/>
          </w:tcPr>
          <w:p>
            <w:pPr>
              <w:pStyle w:val="NoSpacing"/>
              <w:jc w:val="center"/>
              <w:rPr>
                <w:sz w:val="21"/>
                <w:szCs w:val="22"/>
              </w:rPr>
            </w:pPr>
            <w:r>
              <w:rPr>
                <w:sz w:val="21"/>
                <w:szCs w:val="22"/>
              </w:rPr>
              <w:t>0.065~0.131</w:t>
            </w:r>
          </w:p>
        </w:tc>
      </w:tr>
    </w:tbl>
    <w:p>
      <w:pPr>
        <w:pStyle w:val="NoSpacing"/>
        <w:rPr>
          <w:sz w:val="21"/>
          <w:szCs w:val="22"/>
        </w:rPr>
      </w:pPr>
      <w:r>
        <w:rPr>
          <w:sz w:val="21"/>
          <w:szCs w:val="22"/>
        </w:rPr>
      </w:r>
    </w:p>
    <w:p>
      <w:pPr>
        <w:pStyle w:val="NoSpacing"/>
        <w:rPr>
          <w:sz w:val="21"/>
          <w:szCs w:val="22"/>
        </w:rPr>
      </w:pPr>
      <w:r>
        <w:rPr>
          <w:sz w:val="21"/>
          <w:szCs w:val="22"/>
        </w:rPr>
        <w:t>表１の許容範囲と各梁の変位について評価していく。始めに片持ち梁であるがメッシュ長さを</w:t>
      </w:r>
      <w:r>
        <w:rPr>
          <w:sz w:val="21"/>
          <w:szCs w:val="22"/>
        </w:rPr>
        <w:t>0.7</w:t>
      </w:r>
      <w:r>
        <w:rPr>
          <w:sz w:val="21"/>
          <w:szCs w:val="22"/>
        </w:rPr>
        <w:t>にしても許容範囲を満たせていないため、この場合はさらにメッシュ長さを短くして解析を行う必要がある。</w:t>
      </w:r>
      <w:r>
        <w:rPr>
          <w:sz w:val="21"/>
          <w:szCs w:val="22"/>
        </w:rPr>
        <w:t>2</w:t>
      </w:r>
      <w:r>
        <w:rPr>
          <w:sz w:val="21"/>
          <w:szCs w:val="22"/>
        </w:rPr>
        <w:t>つ目は単純梁</w:t>
      </w:r>
      <w:r>
        <w:rPr>
          <w:sz w:val="21"/>
          <w:szCs w:val="22"/>
        </w:rPr>
        <w:t>(1</w:t>
      </w:r>
      <w:r>
        <w:rPr>
          <w:sz w:val="21"/>
          <w:szCs w:val="22"/>
        </w:rPr>
        <w:t>次</w:t>
      </w:r>
      <w:r>
        <w:rPr>
          <w:sz w:val="21"/>
          <w:szCs w:val="22"/>
        </w:rPr>
        <w:t>,</w:t>
      </w:r>
      <w:r>
        <w:rPr>
          <w:sz w:val="21"/>
          <w:szCs w:val="22"/>
        </w:rPr>
        <w:t>２次要素と異方性</w:t>
      </w:r>
      <w:r>
        <w:rPr>
          <w:sz w:val="21"/>
          <w:szCs w:val="22"/>
        </w:rPr>
        <w:t>)</w:t>
      </w:r>
      <w:r>
        <w:rPr>
          <w:sz w:val="21"/>
          <w:szCs w:val="22"/>
        </w:rPr>
        <w:t>であるが、どれもある程度メッシュ長さを短くすると許容範囲内に収まったため理論値と実験値が交わる要素数で解析を行おうがメッシュを短くしようが解析結果にはあまり影響が及ばないと考える。ただ</w:t>
      </w:r>
      <w:r>
        <w:rPr>
          <w:sz w:val="21"/>
          <w:szCs w:val="22"/>
        </w:rPr>
        <w:t>1</w:t>
      </w:r>
      <w:r>
        <w:rPr>
          <w:sz w:val="21"/>
          <w:szCs w:val="22"/>
        </w:rPr>
        <w:t>次要素で解析を行った場合は実験値が理論値に収束していない印象を受けるので、メッシュをさらに短くして解析を行い許容範囲内に留まるかどうかを確認する必要があるのではないか。最後にサンドイッチ梁であるがメッシュ長さを</w:t>
      </w:r>
      <w:r>
        <w:rPr>
          <w:sz w:val="21"/>
          <w:szCs w:val="22"/>
        </w:rPr>
        <w:t>8</w:t>
      </w:r>
      <w:r>
        <w:rPr>
          <w:sz w:val="21"/>
          <w:szCs w:val="22"/>
        </w:rPr>
        <w:t>にして解析を行っても許容範囲内に収まっており、メッシュを短くしても理論値と平行関係にあることからこの場合は長さが</w:t>
      </w:r>
      <w:r>
        <w:rPr>
          <w:sz w:val="21"/>
          <w:szCs w:val="22"/>
        </w:rPr>
        <w:t>8</w:t>
      </w:r>
      <w:r>
        <w:rPr>
          <w:sz w:val="21"/>
          <w:szCs w:val="22"/>
        </w:rPr>
        <w:t>以下で解析を行えばそれなりの結果になると考察する。</w:t>
      </w:r>
    </w:p>
    <w:p>
      <w:pPr>
        <w:pStyle w:val="NoSpacing"/>
        <w:rPr>
          <w:sz w:val="21"/>
          <w:szCs w:val="22"/>
        </w:rPr>
      </w:pPr>
      <w:r>
        <w:rPr>
          <w:sz w:val="21"/>
          <w:szCs w:val="22"/>
        </w:rPr>
      </w:r>
    </w:p>
    <w:p>
      <w:pPr>
        <w:pStyle w:val="NoSpacing"/>
        <w:rPr>
          <w:sz w:val="21"/>
          <w:szCs w:val="22"/>
        </w:rPr>
      </w:pPr>
      <w:r>
        <w:rPr>
          <w:sz w:val="21"/>
          <w:szCs w:val="22"/>
        </w:rPr>
        <w:t>結論</w:t>
      </w:r>
    </w:p>
    <w:p>
      <w:pPr>
        <w:pStyle w:val="NoSpacing"/>
        <w:rPr>
          <w:sz w:val="21"/>
          <w:szCs w:val="22"/>
        </w:rPr>
      </w:pPr>
      <w:r>
        <w:rPr>
          <w:sz w:val="21"/>
          <w:szCs w:val="22"/>
        </w:rPr>
        <w:t>私は基本的にメッシュを短くする方が正確な結果が得られると考えており、理論値に近い要素数で解析を行うことも計算にかかる負荷を考慮すれば間違った方法ではないと思っている。理論値と近いときの要素数はそこまで多くなくすぐに計算が済むというメリットがある。一方で許容値の観点から考えると片持ち梁のようにメッシュ長さを</w:t>
      </w:r>
      <w:r>
        <w:rPr>
          <w:sz w:val="21"/>
          <w:szCs w:val="22"/>
        </w:rPr>
        <w:t>0.7</w:t>
      </w:r>
      <w:r>
        <w:rPr>
          <w:sz w:val="21"/>
          <w:szCs w:val="22"/>
        </w:rPr>
        <w:t>にしても許容範囲内に収らなかったりするモデルもある。これからは班のメンバー全員で同じモデルを解析する機会は多くない上により複雑なモデルを解析すると思うため、どの要素数の時が一番理論値に近づくのかは分からない。そのため保険として要素数を多くして解析を行った方がいいのではないか。</w:t>
      </w:r>
    </w:p>
    <w:p>
      <w:pPr>
        <w:pStyle w:val="NoSpacing"/>
        <w:rPr>
          <w:sz w:val="21"/>
          <w:szCs w:val="22"/>
        </w:rPr>
      </w:pPr>
      <w:r>
        <w:rPr>
          <w:sz w:val="21"/>
          <w:szCs w:val="22"/>
        </w:rPr>
      </w:r>
    </w:p>
    <w:p>
      <w:pPr>
        <w:pStyle w:val="NoSpacing"/>
        <w:rPr>
          <w:sz w:val="21"/>
          <w:szCs w:val="22"/>
        </w:rPr>
      </w:pPr>
      <w:r>
        <w:rPr>
          <w:sz w:val="21"/>
          <w:szCs w:val="22"/>
        </w:rPr>
        <w:t>参考文献：</w:t>
      </w:r>
    </w:p>
    <w:p>
      <w:pPr>
        <w:pStyle w:val="NoSpacing"/>
        <w:rPr>
          <w:sz w:val="21"/>
          <w:szCs w:val="22"/>
        </w:rPr>
      </w:pPr>
      <w:r>
        <w:rPr>
          <w:sz w:val="21"/>
          <w:szCs w:val="22"/>
        </w:rPr>
        <w:t>国土交通省</w:t>
      </w:r>
      <w:r>
        <w:rPr>
          <w:sz w:val="21"/>
          <w:szCs w:val="22"/>
        </w:rPr>
        <w:t xml:space="preserve">, </w:t>
      </w:r>
      <w:r>
        <w:rPr>
          <w:sz w:val="21"/>
          <w:szCs w:val="22"/>
        </w:rPr>
        <w:t>建築構造設計基準の資料</w:t>
      </w:r>
      <w:r>
        <w:rPr>
          <w:sz w:val="21"/>
          <w:szCs w:val="22"/>
        </w:rPr>
        <w:t>,</w:t>
      </w:r>
    </w:p>
    <w:p>
      <w:pPr>
        <w:pStyle w:val="NoSpacing"/>
        <w:rPr>
          <w:sz w:val="21"/>
          <w:szCs w:val="22"/>
        </w:rPr>
      </w:pPr>
      <w:hyperlink r:id="rId2">
        <w:r>
          <w:rPr>
            <w:sz w:val="21"/>
            <w:szCs w:val="22"/>
          </w:rPr>
          <w:t>https://www.mlit.go.jp/common/001396995.pdf</w:t>
        </w:r>
      </w:hyperlink>
    </w:p>
    <w:sectPr>
      <w:type w:val="nextPage"/>
      <w:pgSz w:w="11906" w:h="16838"/>
      <w:pgMar w:left="1701" w:right="1701" w:header="0" w:top="1985" w:footer="0" w:bottom="1701" w:gutter="0"/>
      <w:pgNumType w:fmt="decimal"/>
      <w:formProt w:val="false"/>
      <w:textDirection w:val="lrTb"/>
      <w:docGrid w:type="lines"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2"/>
        <w:szCs w:val="24"/>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lineRule="auto" w:line="259" w:before="0" w:after="160"/>
      <w:jc w:val="left"/>
    </w:pPr>
    <w:rPr>
      <w:rFonts w:ascii="游明朝" w:hAnsi="游明朝" w:eastAsia="游明朝" w:cs="" w:asciiTheme="minorHAnsi" w:cstheme="minorBidi" w:eastAsiaTheme="minorEastAsia" w:hAnsiTheme="minorHAnsi"/>
      <w:color w:val="auto"/>
      <w:kern w:val="2"/>
      <w:sz w:val="22"/>
      <w:szCs w:val="24"/>
      <w:lang w:val="en-US" w:eastAsia="ja-JP" w:bidi="ar-SA"/>
      <w14:ligatures w14:val="standardContextual"/>
    </w:rPr>
  </w:style>
  <w:style w:type="paragraph" w:styleId="1">
    <w:name w:val="Heading 1"/>
    <w:basedOn w:val="Normal"/>
    <w:next w:val="Normal"/>
    <w:link w:val="10"/>
    <w:uiPriority w:val="9"/>
    <w:qFormat/>
    <w:rsid w:val="00131869"/>
    <w:pPr>
      <w:keepNext w:val="true"/>
      <w:keepLines/>
      <w:spacing w:before="280" w:after="80"/>
      <w:outlineLvl w:val="0"/>
    </w:pPr>
    <w:rPr>
      <w:rFonts w:ascii="游ゴシック Light" w:hAnsi="游ゴシック Light" w:eastAsia="游ゴシック Light" w:cs="" w:asciiTheme="majorHAnsi" w:cstheme="majorBidi" w:eastAsiaTheme="majorEastAsia" w:hAnsiTheme="majorHAnsi"/>
      <w:color w:val="000000" w:themeColor="text1"/>
      <w:sz w:val="32"/>
      <w:szCs w:val="32"/>
    </w:rPr>
  </w:style>
  <w:style w:type="paragraph" w:styleId="2">
    <w:name w:val="Heading 2"/>
    <w:basedOn w:val="Normal"/>
    <w:next w:val="Normal"/>
    <w:link w:val="20"/>
    <w:uiPriority w:val="9"/>
    <w:semiHidden/>
    <w:unhideWhenUsed/>
    <w:qFormat/>
    <w:rsid w:val="00131869"/>
    <w:pPr>
      <w:keepNext w:val="true"/>
      <w:keepLines/>
      <w:spacing w:before="160" w:after="80"/>
      <w:outlineLvl w:val="1"/>
    </w:pPr>
    <w:rPr>
      <w:rFonts w:ascii="游ゴシック Light" w:hAnsi="游ゴシック Light" w:eastAsia="游ゴシック Light" w:cs="" w:asciiTheme="majorHAnsi" w:cstheme="majorBidi" w:eastAsiaTheme="majorEastAsia" w:hAnsiTheme="majorHAnsi"/>
      <w:color w:val="000000" w:themeColor="text1"/>
      <w:sz w:val="28"/>
      <w:szCs w:val="28"/>
    </w:rPr>
  </w:style>
  <w:style w:type="paragraph" w:styleId="3">
    <w:name w:val="Heading 3"/>
    <w:basedOn w:val="Normal"/>
    <w:next w:val="Normal"/>
    <w:link w:val="30"/>
    <w:uiPriority w:val="9"/>
    <w:semiHidden/>
    <w:unhideWhenUsed/>
    <w:qFormat/>
    <w:rsid w:val="00131869"/>
    <w:pPr>
      <w:keepNext w:val="true"/>
      <w:keepLines/>
      <w:spacing w:before="160" w:after="80"/>
      <w:outlineLvl w:val="2"/>
    </w:pPr>
    <w:rPr>
      <w:rFonts w:ascii="游ゴシック Light" w:hAnsi="游ゴシック Light" w:eastAsia="游ゴシック Light" w:cs="" w:asciiTheme="majorHAnsi" w:cstheme="majorBidi" w:eastAsiaTheme="majorEastAsia" w:hAnsiTheme="majorHAnsi"/>
      <w:color w:val="000000" w:themeColor="text1"/>
      <w:sz w:val="24"/>
    </w:rPr>
  </w:style>
  <w:style w:type="paragraph" w:styleId="4">
    <w:name w:val="Heading 4"/>
    <w:basedOn w:val="Normal"/>
    <w:next w:val="Normal"/>
    <w:link w:val="40"/>
    <w:uiPriority w:val="9"/>
    <w:semiHidden/>
    <w:unhideWhenUsed/>
    <w:qFormat/>
    <w:rsid w:val="00131869"/>
    <w:pPr>
      <w:keepNext w:val="true"/>
      <w:keepLines/>
      <w:spacing w:before="80" w:after="40"/>
      <w:outlineLvl w:val="3"/>
    </w:pPr>
    <w:rPr>
      <w:rFonts w:ascii="游ゴシック Light" w:hAnsi="游ゴシック Light" w:eastAsia="游ゴシック Light" w:cs="" w:asciiTheme="majorHAnsi" w:cstheme="majorBidi" w:eastAsiaTheme="majorEastAsia" w:hAnsiTheme="majorHAnsi"/>
      <w:color w:val="000000" w:themeColor="text1"/>
    </w:rPr>
  </w:style>
  <w:style w:type="paragraph" w:styleId="5">
    <w:name w:val="Heading 5"/>
    <w:basedOn w:val="Normal"/>
    <w:next w:val="Normal"/>
    <w:link w:val="50"/>
    <w:uiPriority w:val="9"/>
    <w:semiHidden/>
    <w:unhideWhenUsed/>
    <w:qFormat/>
    <w:rsid w:val="00131869"/>
    <w:pPr>
      <w:keepNext w:val="true"/>
      <w:keepLines/>
      <w:spacing w:before="80" w:after="40"/>
      <w:ind w:left="100" w:hanging="0"/>
      <w:outlineLvl w:val="4"/>
    </w:pPr>
    <w:rPr>
      <w:rFonts w:ascii="游ゴシック Light" w:hAnsi="游ゴシック Light" w:eastAsia="游ゴシック Light" w:cs="" w:asciiTheme="majorHAnsi" w:cstheme="majorBidi" w:eastAsiaTheme="majorEastAsia" w:hAnsiTheme="majorHAnsi"/>
      <w:color w:val="000000" w:themeColor="text1"/>
    </w:rPr>
  </w:style>
  <w:style w:type="paragraph" w:styleId="6">
    <w:name w:val="Heading 6"/>
    <w:basedOn w:val="Normal"/>
    <w:next w:val="Normal"/>
    <w:link w:val="60"/>
    <w:uiPriority w:val="9"/>
    <w:semiHidden/>
    <w:unhideWhenUsed/>
    <w:qFormat/>
    <w:rsid w:val="00131869"/>
    <w:pPr>
      <w:keepNext w:val="true"/>
      <w:keepLines/>
      <w:spacing w:before="80" w:after="40"/>
      <w:ind w:left="200" w:hanging="0"/>
      <w:outlineLvl w:val="5"/>
    </w:pPr>
    <w:rPr>
      <w:rFonts w:ascii="游ゴシック Light" w:hAnsi="游ゴシック Light" w:eastAsia="游ゴシック Light" w:cs="" w:asciiTheme="majorHAnsi" w:cstheme="majorBidi" w:eastAsiaTheme="majorEastAsia" w:hAnsiTheme="majorHAnsi"/>
      <w:color w:val="000000" w:themeColor="text1"/>
    </w:rPr>
  </w:style>
  <w:style w:type="paragraph" w:styleId="7">
    <w:name w:val="Heading 7"/>
    <w:basedOn w:val="Normal"/>
    <w:next w:val="Normal"/>
    <w:link w:val="70"/>
    <w:uiPriority w:val="9"/>
    <w:semiHidden/>
    <w:unhideWhenUsed/>
    <w:qFormat/>
    <w:rsid w:val="00131869"/>
    <w:pPr>
      <w:keepNext w:val="true"/>
      <w:keepLines/>
      <w:spacing w:before="80" w:after="40"/>
      <w:ind w:left="300" w:hanging="0"/>
      <w:outlineLvl w:val="6"/>
    </w:pPr>
    <w:rPr>
      <w:rFonts w:ascii="游ゴシック Light" w:hAnsi="游ゴシック Light" w:eastAsia="游ゴシック Light" w:cs="" w:asciiTheme="majorHAnsi" w:cstheme="majorBidi" w:eastAsiaTheme="majorEastAsia" w:hAnsiTheme="majorHAnsi"/>
      <w:color w:val="000000" w:themeColor="text1"/>
    </w:rPr>
  </w:style>
  <w:style w:type="paragraph" w:styleId="8">
    <w:name w:val="Heading 8"/>
    <w:basedOn w:val="Normal"/>
    <w:next w:val="Normal"/>
    <w:link w:val="80"/>
    <w:uiPriority w:val="9"/>
    <w:semiHidden/>
    <w:unhideWhenUsed/>
    <w:qFormat/>
    <w:rsid w:val="00131869"/>
    <w:pPr>
      <w:keepNext w:val="true"/>
      <w:keepLines/>
      <w:spacing w:before="80" w:after="40"/>
      <w:ind w:left="400" w:hanging="0"/>
      <w:outlineLvl w:val="7"/>
    </w:pPr>
    <w:rPr>
      <w:rFonts w:ascii="游ゴシック Light" w:hAnsi="游ゴシック Light" w:eastAsia="游ゴシック Light" w:cs="" w:asciiTheme="majorHAnsi" w:cstheme="majorBidi" w:eastAsiaTheme="majorEastAsia" w:hAnsiTheme="majorHAnsi"/>
      <w:color w:val="000000" w:themeColor="text1"/>
    </w:rPr>
  </w:style>
  <w:style w:type="paragraph" w:styleId="9">
    <w:name w:val="Heading 9"/>
    <w:basedOn w:val="Normal"/>
    <w:next w:val="Normal"/>
    <w:link w:val="90"/>
    <w:uiPriority w:val="9"/>
    <w:semiHidden/>
    <w:unhideWhenUsed/>
    <w:qFormat/>
    <w:rsid w:val="00131869"/>
    <w:pPr>
      <w:keepNext w:val="true"/>
      <w:keepLines/>
      <w:spacing w:before="80" w:after="40"/>
      <w:ind w:left="500" w:hanging="0"/>
      <w:outlineLvl w:val="8"/>
    </w:pPr>
    <w:rPr>
      <w:rFonts w:ascii="游ゴシック Light" w:hAnsi="游ゴシック Light" w:eastAsia="游ゴシック Light" w:cs="" w:asciiTheme="majorHAnsi" w:cstheme="majorBidi" w:eastAsiaTheme="majorEastAsia" w:hAnsiTheme="majorHAnsi"/>
      <w:color w:val="000000" w:themeColor="text1"/>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link w:val="1"/>
    <w:uiPriority w:val="9"/>
    <w:qFormat/>
    <w:rsid w:val="00131869"/>
    <w:rPr>
      <w:rFonts w:ascii="游ゴシック Light" w:hAnsi="游ゴシック Light" w:eastAsia="游ゴシック Light" w:cs="" w:asciiTheme="majorHAnsi" w:cstheme="majorBidi" w:eastAsiaTheme="majorEastAsia" w:hAnsiTheme="majorHAnsi"/>
      <w:color w:val="000000" w:themeColor="text1"/>
      <w:sz w:val="32"/>
      <w:szCs w:val="32"/>
    </w:rPr>
  </w:style>
  <w:style w:type="character" w:styleId="21" w:customStyle="1">
    <w:name w:val="見出し 2 (文字)"/>
    <w:basedOn w:val="DefaultParagraphFont"/>
    <w:link w:val="2"/>
    <w:uiPriority w:val="9"/>
    <w:semiHidden/>
    <w:qFormat/>
    <w:rsid w:val="00131869"/>
    <w:rPr>
      <w:rFonts w:ascii="游ゴシック Light" w:hAnsi="游ゴシック Light" w:eastAsia="游ゴシック Light" w:cs="" w:asciiTheme="majorHAnsi" w:cstheme="majorBidi" w:eastAsiaTheme="majorEastAsia" w:hAnsiTheme="majorHAnsi"/>
      <w:color w:val="000000" w:themeColor="text1"/>
      <w:sz w:val="28"/>
      <w:szCs w:val="28"/>
    </w:rPr>
  </w:style>
  <w:style w:type="character" w:styleId="31" w:customStyle="1">
    <w:name w:val="見出し 3 (文字)"/>
    <w:basedOn w:val="DefaultParagraphFont"/>
    <w:link w:val="3"/>
    <w:uiPriority w:val="9"/>
    <w:semiHidden/>
    <w:qFormat/>
    <w:rsid w:val="00131869"/>
    <w:rPr>
      <w:rFonts w:ascii="游ゴシック Light" w:hAnsi="游ゴシック Light" w:eastAsia="游ゴシック Light" w:cs="" w:asciiTheme="majorHAnsi" w:cstheme="majorBidi" w:eastAsiaTheme="majorEastAsia" w:hAnsiTheme="majorHAnsi"/>
      <w:color w:val="000000" w:themeColor="text1"/>
      <w:sz w:val="24"/>
    </w:rPr>
  </w:style>
  <w:style w:type="character" w:styleId="41" w:customStyle="1">
    <w:name w:val="見出し 4 (文字)"/>
    <w:basedOn w:val="DefaultParagraphFont"/>
    <w:link w:val="4"/>
    <w:uiPriority w:val="9"/>
    <w:semiHidden/>
    <w:qFormat/>
    <w:rsid w:val="00131869"/>
    <w:rPr>
      <w:rFonts w:ascii="游ゴシック Light" w:hAnsi="游ゴシック Light" w:eastAsia="游ゴシック Light" w:cs="" w:asciiTheme="majorHAnsi" w:cstheme="majorBidi" w:eastAsiaTheme="majorEastAsia" w:hAnsiTheme="majorHAnsi"/>
      <w:color w:val="000000" w:themeColor="text1"/>
    </w:rPr>
  </w:style>
  <w:style w:type="character" w:styleId="51" w:customStyle="1">
    <w:name w:val="見出し 5 (文字)"/>
    <w:basedOn w:val="DefaultParagraphFont"/>
    <w:link w:val="5"/>
    <w:uiPriority w:val="9"/>
    <w:semiHidden/>
    <w:qFormat/>
    <w:rsid w:val="00131869"/>
    <w:rPr>
      <w:rFonts w:ascii="游ゴシック Light" w:hAnsi="游ゴシック Light" w:eastAsia="游ゴシック Light" w:cs="" w:asciiTheme="majorHAnsi" w:cstheme="majorBidi" w:eastAsiaTheme="majorEastAsia" w:hAnsiTheme="majorHAnsi"/>
      <w:color w:val="000000" w:themeColor="text1"/>
    </w:rPr>
  </w:style>
  <w:style w:type="character" w:styleId="61" w:customStyle="1">
    <w:name w:val="見出し 6 (文字)"/>
    <w:basedOn w:val="DefaultParagraphFont"/>
    <w:link w:val="6"/>
    <w:uiPriority w:val="9"/>
    <w:semiHidden/>
    <w:qFormat/>
    <w:rsid w:val="00131869"/>
    <w:rPr>
      <w:rFonts w:ascii="游ゴシック Light" w:hAnsi="游ゴシック Light" w:eastAsia="游ゴシック Light" w:cs="" w:asciiTheme="majorHAnsi" w:cstheme="majorBidi" w:eastAsiaTheme="majorEastAsia" w:hAnsiTheme="majorHAnsi"/>
      <w:color w:val="000000" w:themeColor="text1"/>
    </w:rPr>
  </w:style>
  <w:style w:type="character" w:styleId="71" w:customStyle="1">
    <w:name w:val="見出し 7 (文字)"/>
    <w:basedOn w:val="DefaultParagraphFont"/>
    <w:link w:val="7"/>
    <w:uiPriority w:val="9"/>
    <w:semiHidden/>
    <w:qFormat/>
    <w:rsid w:val="00131869"/>
    <w:rPr>
      <w:rFonts w:ascii="游ゴシック Light" w:hAnsi="游ゴシック Light" w:eastAsia="游ゴシック Light" w:cs="" w:asciiTheme="majorHAnsi" w:cstheme="majorBidi" w:eastAsiaTheme="majorEastAsia" w:hAnsiTheme="majorHAnsi"/>
      <w:color w:val="000000" w:themeColor="text1"/>
    </w:rPr>
  </w:style>
  <w:style w:type="character" w:styleId="81" w:customStyle="1">
    <w:name w:val="見出し 8 (文字)"/>
    <w:basedOn w:val="DefaultParagraphFont"/>
    <w:link w:val="8"/>
    <w:uiPriority w:val="9"/>
    <w:semiHidden/>
    <w:qFormat/>
    <w:rsid w:val="00131869"/>
    <w:rPr>
      <w:rFonts w:ascii="游ゴシック Light" w:hAnsi="游ゴシック Light" w:eastAsia="游ゴシック Light" w:cs="" w:asciiTheme="majorHAnsi" w:cstheme="majorBidi" w:eastAsiaTheme="majorEastAsia" w:hAnsiTheme="majorHAnsi"/>
      <w:color w:val="000000" w:themeColor="text1"/>
    </w:rPr>
  </w:style>
  <w:style w:type="character" w:styleId="91" w:customStyle="1">
    <w:name w:val="見出し 9 (文字)"/>
    <w:basedOn w:val="DefaultParagraphFont"/>
    <w:link w:val="9"/>
    <w:uiPriority w:val="9"/>
    <w:semiHidden/>
    <w:qFormat/>
    <w:rsid w:val="00131869"/>
    <w:rPr>
      <w:rFonts w:ascii="游ゴシック Light" w:hAnsi="游ゴシック Light" w:eastAsia="游ゴシック Light" w:cs="" w:asciiTheme="majorHAnsi" w:cstheme="majorBidi" w:eastAsiaTheme="majorEastAsia" w:hAnsiTheme="majorHAnsi"/>
      <w:color w:val="000000" w:themeColor="text1"/>
    </w:rPr>
  </w:style>
  <w:style w:type="character" w:styleId="Style5" w:customStyle="1">
    <w:name w:val="表題 (文字)"/>
    <w:basedOn w:val="DefaultParagraphFont"/>
    <w:link w:val="a3"/>
    <w:uiPriority w:val="10"/>
    <w:qFormat/>
    <w:rsid w:val="00131869"/>
    <w:rPr>
      <w:rFonts w:ascii="游ゴシック Light" w:hAnsi="游ゴシック Light" w:eastAsia="游ゴシック Light" w:cs="" w:asciiTheme="majorHAnsi" w:cstheme="majorBidi" w:eastAsiaTheme="majorEastAsia" w:hAnsiTheme="majorHAnsi"/>
      <w:spacing w:val="-10"/>
      <w:kern w:val="2"/>
      <w:sz w:val="56"/>
      <w:szCs w:val="56"/>
    </w:rPr>
  </w:style>
  <w:style w:type="character" w:styleId="Style6" w:customStyle="1">
    <w:name w:val="副題 (文字)"/>
    <w:basedOn w:val="DefaultParagraphFont"/>
    <w:link w:val="a5"/>
    <w:uiPriority w:val="11"/>
    <w:qFormat/>
    <w:rsid w:val="00131869"/>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character" w:styleId="Style7" w:customStyle="1">
    <w:name w:val="引用文 (文字)"/>
    <w:basedOn w:val="DefaultParagraphFont"/>
    <w:link w:val="a7"/>
    <w:uiPriority w:val="29"/>
    <w:qFormat/>
    <w:rsid w:val="00131869"/>
    <w:rPr>
      <w:i/>
      <w:iCs/>
      <w:color w:val="404040" w:themeColor="text1" w:themeTint="bf"/>
    </w:rPr>
  </w:style>
  <w:style w:type="character" w:styleId="IntenseEmphasis">
    <w:name w:val="Intense Emphasis"/>
    <w:basedOn w:val="DefaultParagraphFont"/>
    <w:uiPriority w:val="21"/>
    <w:qFormat/>
    <w:rsid w:val="00131869"/>
    <w:rPr>
      <w:i/>
      <w:iCs/>
      <w:color w:val="0F4761" w:themeColor="accent1" w:themeShade="bf"/>
    </w:rPr>
  </w:style>
  <w:style w:type="character" w:styleId="22" w:customStyle="1">
    <w:name w:val="引用文 2 (文字)"/>
    <w:basedOn w:val="DefaultParagraphFont"/>
    <w:link w:val="22"/>
    <w:uiPriority w:val="30"/>
    <w:qFormat/>
    <w:rsid w:val="00131869"/>
    <w:rPr>
      <w:i/>
      <w:iCs/>
      <w:color w:val="0F4761" w:themeColor="accent1" w:themeShade="bf"/>
    </w:rPr>
  </w:style>
  <w:style w:type="character" w:styleId="IntenseReference">
    <w:name w:val="Intense Reference"/>
    <w:basedOn w:val="DefaultParagraphFont"/>
    <w:uiPriority w:val="32"/>
    <w:qFormat/>
    <w:rsid w:val="00131869"/>
    <w:rPr>
      <w:b/>
      <w:bCs/>
      <w:smallCaps/>
      <w:color w:val="0F4761" w:themeColor="accent1" w:themeShade="bf"/>
      <w:spacing w:val="5"/>
    </w:rPr>
  </w:style>
  <w:style w:type="character" w:styleId="Style8">
    <w:name w:val="インターネットリンク"/>
    <w:basedOn w:val="DefaultParagraphFont"/>
    <w:uiPriority w:val="99"/>
    <w:unhideWhenUsed/>
    <w:rsid w:val="00af1e5a"/>
    <w:rPr>
      <w:color w:val="467886" w:themeColor="hyperlink"/>
      <w:u w:val="single"/>
    </w:rPr>
  </w:style>
  <w:style w:type="character" w:styleId="UnresolvedMention">
    <w:name w:val="Unresolved Mention"/>
    <w:basedOn w:val="DefaultParagraphFont"/>
    <w:uiPriority w:val="99"/>
    <w:semiHidden/>
    <w:unhideWhenUsed/>
    <w:qFormat/>
    <w:rsid w:val="00af1e5a"/>
    <w:rPr>
      <w:color w:val="605E5C"/>
      <w:shd w:fill="E1DFDD" w:val="clear"/>
    </w:rPr>
  </w:style>
  <w:style w:type="paragraph" w:styleId="Style9">
    <w:name w:val="見出し"/>
    <w:basedOn w:val="Normal"/>
    <w:next w:val="Style10"/>
    <w:qFormat/>
    <w:pPr>
      <w:keepNext w:val="true"/>
      <w:spacing w:before="240" w:after="120"/>
    </w:pPr>
    <w:rPr>
      <w:rFonts w:ascii="Liberation Sans" w:hAnsi="Liberation Sans" w:eastAsia="Noto Sans CJK JP" w:cs="Lohit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ohit Devanagari"/>
    </w:rPr>
  </w:style>
  <w:style w:type="paragraph" w:styleId="Style12">
    <w:name w:val="Caption"/>
    <w:basedOn w:val="Normal"/>
    <w:qFormat/>
    <w:pPr>
      <w:suppressLineNumbers/>
      <w:spacing w:before="120" w:after="120"/>
    </w:pPr>
    <w:rPr>
      <w:rFonts w:cs="Lohit Devanagari"/>
      <w:i/>
      <w:iCs/>
      <w:sz w:val="24"/>
      <w:szCs w:val="24"/>
    </w:rPr>
  </w:style>
  <w:style w:type="paragraph" w:styleId="Style13">
    <w:name w:val="索引"/>
    <w:basedOn w:val="Normal"/>
    <w:qFormat/>
    <w:pPr>
      <w:suppressLineNumbers/>
    </w:pPr>
    <w:rPr>
      <w:rFonts w:cs="Lohit Devanagari"/>
    </w:rPr>
  </w:style>
  <w:style w:type="paragraph" w:styleId="Style14">
    <w:name w:val="Title"/>
    <w:basedOn w:val="Normal"/>
    <w:next w:val="Normal"/>
    <w:link w:val="a4"/>
    <w:uiPriority w:val="10"/>
    <w:qFormat/>
    <w:rsid w:val="00131869"/>
    <w:pPr>
      <w:spacing w:lineRule="auto" w:line="240" w:before="0" w:after="80"/>
      <w:contextualSpacing/>
      <w:jc w:val="center"/>
    </w:pPr>
    <w:rPr>
      <w:rFonts w:ascii="游ゴシック Light" w:hAnsi="游ゴシック Light" w:eastAsia="游ゴシック Light" w:cs="" w:asciiTheme="majorHAnsi" w:cstheme="majorBidi" w:eastAsiaTheme="majorEastAsia" w:hAnsiTheme="majorHAnsi"/>
      <w:spacing w:val="-10"/>
      <w:kern w:val="2"/>
      <w:sz w:val="56"/>
      <w:szCs w:val="56"/>
    </w:rPr>
  </w:style>
  <w:style w:type="paragraph" w:styleId="Style15">
    <w:name w:val="Subtitle"/>
    <w:basedOn w:val="Normal"/>
    <w:next w:val="Normal"/>
    <w:link w:val="a6"/>
    <w:uiPriority w:val="11"/>
    <w:qFormat/>
    <w:rsid w:val="00131869"/>
    <w:pPr>
      <w:jc w:val="center"/>
    </w:pPr>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a8"/>
    <w:uiPriority w:val="29"/>
    <w:qFormat/>
    <w:rsid w:val="00131869"/>
    <w:pPr>
      <w:spacing w:before="160" w:after="160"/>
      <w:jc w:val="center"/>
    </w:pPr>
    <w:rPr>
      <w:i/>
      <w:iCs/>
      <w:color w:val="404040" w:themeColor="text1" w:themeTint="bf"/>
    </w:rPr>
  </w:style>
  <w:style w:type="paragraph" w:styleId="ListParagraph">
    <w:name w:val="List Paragraph"/>
    <w:basedOn w:val="Normal"/>
    <w:uiPriority w:val="34"/>
    <w:qFormat/>
    <w:rsid w:val="00131869"/>
    <w:pPr>
      <w:spacing w:before="0" w:after="160"/>
      <w:ind w:left="720" w:hanging="0"/>
      <w:contextualSpacing/>
    </w:pPr>
    <w:rPr/>
  </w:style>
  <w:style w:type="paragraph" w:styleId="IntenseQuote">
    <w:name w:val="Intense Quote"/>
    <w:basedOn w:val="Normal"/>
    <w:next w:val="Normal"/>
    <w:link w:val="23"/>
    <w:uiPriority w:val="30"/>
    <w:qFormat/>
    <w:rsid w:val="00131869"/>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Spacing">
    <w:name w:val="No Spacing"/>
    <w:uiPriority w:val="1"/>
    <w:qFormat/>
    <w:rsid w:val="00131869"/>
    <w:pPr>
      <w:widowControl w:val="false"/>
      <w:bidi w:val="0"/>
      <w:spacing w:lineRule="auto" w:line="240" w:before="0" w:after="0"/>
      <w:jc w:val="left"/>
    </w:pPr>
    <w:rPr>
      <w:rFonts w:ascii="游明朝" w:hAnsi="游明朝" w:eastAsia="游明朝" w:cs="" w:asciiTheme="minorHAnsi" w:cstheme="minorBidi" w:eastAsiaTheme="minorEastAsia" w:hAnsiTheme="minorHAnsi"/>
      <w:color w:val="auto"/>
      <w:kern w:val="2"/>
      <w:sz w:val="22"/>
      <w:szCs w:val="24"/>
      <w:lang w:val="en-US" w:eastAsia="ja-JP" w:bidi="ar-SA"/>
      <w14:ligatures w14:val="standardContextual"/>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d">
    <w:name w:val="Table Grid"/>
    <w:basedOn w:val="a1"/>
    <w:uiPriority w:val="39"/>
    <w:rsid w:val="00af1e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lit.go.jp/common/001396995.pd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Application>LibreOffice/6.4.7.2$Linux_X86_64 LibreOffice_project/40$Build-2</Application>
  <Pages>2</Pages>
  <Words>1215</Words>
  <Characters>1355</Characters>
  <CharactersWithSpaces>1362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2025-02-01T08:39:00Z</dcterms:created>
  <dc:creator>森井　蓮</dc:creator>
  <dc:description/>
  <dc:language>ja-JP</dc:language>
  <cp:lastModifiedBy/>
  <dcterms:modified xsi:type="dcterms:W3CDTF">2025-02-07T12:39:25Z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